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Comprehensive Synthesis: Commons Governance, Polycentricity, and Collective Action in the Ostrom Framework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Foundational Concepts and the Rebuttal to Institutional Inevitability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Myth of the Tragedy: Distinguishing Open-Access from Common-Pool Resources (CPRs)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theoretical apparatus developed by Elinor Ostrom and the Bloomington School is predicated upon a fundamental rebuttal to the paradigm of institutional inevitability, most famously articulated in Garrett Hardin's "Tragedy of the Commons." Ostrom's pivotal research, synthesized in works like </w:t>
      </w:r>
      <w:r w:rsidDel="00000000" w:rsidR="00000000" w:rsidRPr="00000000">
        <w:rPr>
          <w:rFonts w:ascii="Google Sans Text" w:cs="Google Sans Text" w:eastAsia="Google Sans Text" w:hAnsi="Google Sans Text"/>
          <w:i w:val="1"/>
          <w:color w:val="1b1c1d"/>
          <w:rtl w:val="0"/>
        </w:rPr>
        <w:t xml:space="preserve">Governing the Commons</w:t>
      </w:r>
      <w:r w:rsidDel="00000000" w:rsidR="00000000" w:rsidRPr="00000000">
        <w:rPr>
          <w:rFonts w:ascii="Google Sans Text" w:cs="Google Sans Text" w:eastAsia="Google Sans Text" w:hAnsi="Google Sans Text"/>
          <w:color w:val="1b1c1d"/>
          <w:rtl w:val="0"/>
        </w:rPr>
        <w:t xml:space="preserve">, challenges the notion that resources held in common are doomed to depletion due to the self-interested rationality of users [1]. Hardin’s foundational error was the conceptual conflation of genuinely </w:t>
      </w:r>
      <w:r w:rsidDel="00000000" w:rsidR="00000000" w:rsidRPr="00000000">
        <w:rPr>
          <w:rFonts w:ascii="Google Sans Text" w:cs="Google Sans Text" w:eastAsia="Google Sans Text" w:hAnsi="Google Sans Text"/>
          <w:b w:val="1"/>
          <w:color w:val="1b1c1d"/>
          <w:rtl w:val="0"/>
        </w:rPr>
        <w:t xml:space="preserve">open-access resources</w:t>
      </w:r>
      <w:r w:rsidDel="00000000" w:rsidR="00000000" w:rsidRPr="00000000">
        <w:rPr>
          <w:rFonts w:ascii="Google Sans Text" w:cs="Google Sans Text" w:eastAsia="Google Sans Text" w:hAnsi="Google Sans Text"/>
          <w:color w:val="1b1c1d"/>
          <w:rtl w:val="0"/>
        </w:rPr>
        <w:t xml:space="preserve">—where entry and harvest are unrestricted—with </w:t>
      </w:r>
      <w:r w:rsidDel="00000000" w:rsidR="00000000" w:rsidRPr="00000000">
        <w:rPr>
          <w:rFonts w:ascii="Google Sans Text" w:cs="Google Sans Text" w:eastAsia="Google Sans Text" w:hAnsi="Google Sans Text"/>
          <w:b w:val="1"/>
          <w:color w:val="1b1c1d"/>
          <w:rtl w:val="0"/>
        </w:rPr>
        <w:t xml:space="preserve">common-pool resources (CPRs)</w:t>
      </w:r>
      <w:r w:rsidDel="00000000" w:rsidR="00000000" w:rsidRPr="00000000">
        <w:rPr>
          <w:rFonts w:ascii="Google Sans Text" w:cs="Google Sans Text" w:eastAsia="Google Sans Text" w:hAnsi="Google Sans Text"/>
          <w:color w:val="1b1c1d"/>
          <w:rtl w:val="0"/>
        </w:rPr>
        <w:t xml:space="preserve">, which are jointly owned and subject to established community property and institutional control [2].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Open-access resources, lacking institutional bounds, are highly susceptible to overexploitation and potential destruction, confirming the generalized Malthusian outcome predicted by Hardin [2]. In stark contrast, CPRs, such as irrigation networks in the Philippines or the common pasture of Torbel, Switzerland, have been successfully managed by self-organized communities for centuries or even millennia [1]. CPRs are analytically defined by the characteristics of high subtractability (rivalry in use) combined with low excludability [3]. The existence of these long-enduring regimes proves that over-exploitation is not an inevitable outcome; rather, the individuals concerned possess the latent capacity to achieve mutual restraint through consensus and self-devised rules [4].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intellectual distinction is not merely academic; it represents a profound political and analytical intervention. By empirically demonstrating that local self-governance is a viable institutional solution, Ostrom shifts the analytical focus away from a forced dichotomy between centralized state control and exclusive private ownership [5, 6]. The finding legitimizes the space for local institutional formation, enabling scholars and policy designers to move past the expectation of top-down imposition and concentrate instead on facilitating institutional arrangements that allow the best features of human cooperation to emerge [7]. Furthermore, successful CPR management is always contingent upon ecological context. A common-pool river basin, for instance, differs substantially from a forest regarding resource unit mobility, the ease of measuring appropriation, the time scale required for regeneration, and the spatial extent of the resource, necessitating highly tailored institutional responses [5]. This heterogeneity underscores the necessity of the framework's emphasis on local adaptation (Design Principle 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Beyond Thin Rationality: The Behavioral Foundations of Collective Action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Traditional economic models, rooted in the assumption of "thin" rationality, often rely on non-cooperative game theory structures like the Prisoner's Dilemma to predict resource depletion in the absence of external coercion. These theories assume that individuals will invariably act purely in short-term self-interest, leading to collectively sub-optimal outcomes (the Free-Rider Problem) [8]. Ostrom’s extensive empirical work, however, demonstrated that successful commons management requires an understanding of a "second-generation" behavioralist conception of rationality [9].</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Bloomington School’s approach moves beyond the exclusive reliance on economic utilitarianism, which was central to classic Collective Action Theory (e.g., Olson's critique) [10]. The research confirms that cooperation, especially in iterated interactions, is sustained by socio-behavioral mechanisms: trust, reciprocity, and reputation [5, 11, 12]. Laboratory and field experiments demonstrate that face-to-face communication, even when lacking specific measures, significantly improves efficiency by increasing trust, internalizing normative values, and reducing social distance, thereby facilitating coordination [9, 13].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behavioral understanding provides the theoretical justification for the functional necessity of institutional design. The establishment of local rules and community-based enforcement mechanisms serves to restructure the rational actor's payoff matrix. The construction of institutions, therefore, fundamentally changes the calculus of individual choice such that cooperation—including adherence to provision and appropriation rules—becomes the self-interested, long-term rational strategy [9]. Endogenous sanctioning, which is primarily directed at heavy appropriators, increases gross benefits by deterring rule violations [5, 12]. However, this mechanism is highly sensitive to costs; if the fees and fines associated with community-based monitoring and sanctioning are too high or overused, the net return to the group can drop substantially [5, 12]. This sensitivity confirms that successful institutional design must incorporate low-cost mechanisms for enforcement and conflict resolution (Design Principles 5 and 6) to ensure sanctions remain efficiency-improving rather than system-degrading.</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Diagnostic Lens: Institutional Analysis and Development (IAD) Framework</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IAD Apparatus: Structure and Function for Institutional Inquiry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Institutional Analysis and Development (IAD) framework is the metatheoretical foundation of Ostrom's work, providing a rigorous, diagnostic methodology for analyzing the complexity of institutional arrangements and their diversity [6, 14]. Designed to move beyond simplistic models, the IAD facilitates systematic analysis of the processes through which individual and collective choices occur, ultimately connecting context to outcome [14].</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IAD framework structures analysis around the </w:t>
      </w:r>
      <w:r w:rsidDel="00000000" w:rsidR="00000000" w:rsidRPr="00000000">
        <w:rPr>
          <w:rFonts w:ascii="Google Sans Text" w:cs="Google Sans Text" w:eastAsia="Google Sans Text" w:hAnsi="Google Sans Text"/>
          <w:b w:val="1"/>
          <w:color w:val="1b1c1d"/>
          <w:rtl w:val="0"/>
        </w:rPr>
        <w:t xml:space="preserve">Action Arena</w:t>
      </w:r>
      <w:r w:rsidDel="00000000" w:rsidR="00000000" w:rsidRPr="00000000">
        <w:rPr>
          <w:rFonts w:ascii="Google Sans Text" w:cs="Google Sans Text" w:eastAsia="Google Sans Text" w:hAnsi="Google Sans Text"/>
          <w:color w:val="1b1c1d"/>
          <w:rtl w:val="0"/>
        </w:rPr>
        <w:t xml:space="preserve">, which is the setting where human interaction takes place. The Action Arena itself is comprised of two core elements: </w:t>
      </w:r>
      <w:r w:rsidDel="00000000" w:rsidR="00000000" w:rsidRPr="00000000">
        <w:rPr>
          <w:rFonts w:ascii="Google Sans Text" w:cs="Google Sans Text" w:eastAsia="Google Sans Text" w:hAnsi="Google Sans Text"/>
          <w:b w:val="1"/>
          <w:color w:val="1b1c1d"/>
          <w:rtl w:val="0"/>
        </w:rPr>
        <w:t xml:space="preserve">Participants</w:t>
      </w:r>
      <w:r w:rsidDel="00000000" w:rsidR="00000000" w:rsidRPr="00000000">
        <w:rPr>
          <w:rFonts w:ascii="Google Sans Text" w:cs="Google Sans Text" w:eastAsia="Google Sans Text" w:hAnsi="Google Sans Text"/>
          <w:color w:val="1b1c1d"/>
          <w:rtl w:val="0"/>
        </w:rPr>
        <w:t xml:space="preserve"> (actors) and the </w:t>
      </w:r>
      <w:r w:rsidDel="00000000" w:rsidR="00000000" w:rsidRPr="00000000">
        <w:rPr>
          <w:rFonts w:ascii="Google Sans Text" w:cs="Google Sans Text" w:eastAsia="Google Sans Text" w:hAnsi="Google Sans Text"/>
          <w:b w:val="1"/>
          <w:color w:val="1b1c1d"/>
          <w:rtl w:val="0"/>
        </w:rPr>
        <w:t xml:space="preserve">Action Situation</w:t>
      </w:r>
      <w:r w:rsidDel="00000000" w:rsidR="00000000" w:rsidRPr="00000000">
        <w:rPr>
          <w:rFonts w:ascii="Google Sans Text" w:cs="Google Sans Text" w:eastAsia="Google Sans Text" w:hAnsi="Google Sans Text"/>
          <w:color w:val="1b1c1d"/>
          <w:rtl w:val="0"/>
        </w:rPr>
        <w:t xml:space="preserve"> (the formal context of choice) [14]. These elements operate within an environment characterized by three major classes of </w:t>
      </w:r>
      <w:r w:rsidDel="00000000" w:rsidR="00000000" w:rsidRPr="00000000">
        <w:rPr>
          <w:rFonts w:ascii="Google Sans Text" w:cs="Google Sans Text" w:eastAsia="Google Sans Text" w:hAnsi="Google Sans Text"/>
          <w:b w:val="1"/>
          <w:color w:val="1b1c1d"/>
          <w:rtl w:val="0"/>
        </w:rPr>
        <w:t xml:space="preserve">Exogenous Variables</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Rules-in-Use</w:t>
      </w:r>
      <w:r w:rsidDel="00000000" w:rsidR="00000000" w:rsidRPr="00000000">
        <w:rPr>
          <w:rFonts w:ascii="Google Sans Text" w:cs="Google Sans Text" w:eastAsia="Google Sans Text" w:hAnsi="Google Sans Text"/>
          <w:color w:val="1b1c1d"/>
          <w:rtl w:val="0"/>
        </w:rPr>
        <w:t xml:space="preserve"> (the constraints and opportunities), the </w:t>
      </w:r>
      <w:r w:rsidDel="00000000" w:rsidR="00000000" w:rsidRPr="00000000">
        <w:rPr>
          <w:rFonts w:ascii="Google Sans Text" w:cs="Google Sans Text" w:eastAsia="Google Sans Text" w:hAnsi="Google Sans Text"/>
          <w:b w:val="1"/>
          <w:color w:val="1b1c1d"/>
          <w:rtl w:val="0"/>
        </w:rPr>
        <w:t xml:space="preserve">Attributes of the Community</w:t>
      </w:r>
      <w:r w:rsidDel="00000000" w:rsidR="00000000" w:rsidRPr="00000000">
        <w:rPr>
          <w:rFonts w:ascii="Google Sans Text" w:cs="Google Sans Text" w:eastAsia="Google Sans Text" w:hAnsi="Google Sans Text"/>
          <w:color w:val="1b1c1d"/>
          <w:rtl w:val="0"/>
        </w:rPr>
        <w:t xml:space="preserve"> (e.g., norms, history), and the </w:t>
      </w:r>
      <w:r w:rsidDel="00000000" w:rsidR="00000000" w:rsidRPr="00000000">
        <w:rPr>
          <w:rFonts w:ascii="Google Sans Text" w:cs="Google Sans Text" w:eastAsia="Google Sans Text" w:hAnsi="Google Sans Text"/>
          <w:b w:val="1"/>
          <w:color w:val="1b1c1d"/>
          <w:rtl w:val="0"/>
        </w:rPr>
        <w:t xml:space="preserve">Nature of the Good</w:t>
      </w:r>
      <w:r w:rsidDel="00000000" w:rsidR="00000000" w:rsidRPr="00000000">
        <w:rPr>
          <w:rFonts w:ascii="Google Sans Text" w:cs="Google Sans Text" w:eastAsia="Google Sans Text" w:hAnsi="Google Sans Text"/>
          <w:color w:val="1b1c1d"/>
          <w:rtl w:val="0"/>
        </w:rPr>
        <w:t xml:space="preserve"> (e.g., CPR, public good) [15]. Interactions within the Action Arena generate </w:t>
      </w:r>
      <w:r w:rsidDel="00000000" w:rsidR="00000000" w:rsidRPr="00000000">
        <w:rPr>
          <w:rFonts w:ascii="Google Sans Text" w:cs="Google Sans Text" w:eastAsia="Google Sans Text" w:hAnsi="Google Sans Text"/>
          <w:b w:val="1"/>
          <w:color w:val="1b1c1d"/>
          <w:rtl w:val="0"/>
        </w:rPr>
        <w:t xml:space="preserve">Outcomes</w:t>
      </w:r>
      <w:r w:rsidDel="00000000" w:rsidR="00000000" w:rsidRPr="00000000">
        <w:rPr>
          <w:rFonts w:ascii="Google Sans Text" w:cs="Google Sans Text" w:eastAsia="Google Sans Text" w:hAnsi="Google Sans Text"/>
          <w:color w:val="1b1c1d"/>
          <w:rtl w:val="0"/>
        </w:rPr>
        <w:t xml:space="preserve">, which are then subject to </w:t>
      </w:r>
      <w:r w:rsidDel="00000000" w:rsidR="00000000" w:rsidRPr="00000000">
        <w:rPr>
          <w:rFonts w:ascii="Google Sans Text" w:cs="Google Sans Text" w:eastAsia="Google Sans Text" w:hAnsi="Google Sans Text"/>
          <w:b w:val="1"/>
          <w:color w:val="1b1c1d"/>
          <w:rtl w:val="0"/>
        </w:rPr>
        <w:t xml:space="preserve">Evaluation</w:t>
      </w:r>
      <w:r w:rsidDel="00000000" w:rsidR="00000000" w:rsidRPr="00000000">
        <w:rPr>
          <w:rFonts w:ascii="Google Sans Text" w:cs="Google Sans Text" w:eastAsia="Google Sans Text" w:hAnsi="Google Sans Text"/>
          <w:color w:val="1b1c1d"/>
          <w:rtl w:val="0"/>
        </w:rPr>
        <w:t xml:space="preserve"> by the participants based on criteria like efficiency, equity, and sustainability. This evaluation process closes the loop, generating </w:t>
      </w:r>
      <w:r w:rsidDel="00000000" w:rsidR="00000000" w:rsidRPr="00000000">
        <w:rPr>
          <w:rFonts w:ascii="Google Sans Text" w:cs="Google Sans Text" w:eastAsia="Google Sans Text" w:hAnsi="Google Sans Text"/>
          <w:b w:val="1"/>
          <w:color w:val="1b1c1d"/>
          <w:rtl w:val="0"/>
        </w:rPr>
        <w:t xml:space="preserve">Feedback</w:t>
      </w:r>
      <w:r w:rsidDel="00000000" w:rsidR="00000000" w:rsidRPr="00000000">
        <w:rPr>
          <w:rFonts w:ascii="Google Sans Text" w:cs="Google Sans Text" w:eastAsia="Google Sans Text" w:hAnsi="Google Sans Text"/>
          <w:color w:val="1b1c1d"/>
          <w:rtl w:val="0"/>
        </w:rPr>
        <w:t xml:space="preserve"> that influences future rules and interactions [14].</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Action Situation and Rules-in-Use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Action Situation</w:t>
      </w:r>
      <w:r w:rsidDel="00000000" w:rsidR="00000000" w:rsidRPr="00000000">
        <w:rPr>
          <w:rFonts w:ascii="Google Sans Text" w:cs="Google Sans Text" w:eastAsia="Google Sans Text" w:hAnsi="Google Sans Text"/>
          <w:color w:val="1b1c1d"/>
          <w:rtl w:val="0"/>
        </w:rPr>
        <w:t xml:space="preserve"> constitutes the generalized structural configuration of the "rules of the game" that specify how interactions proceed. To diagnose any action situation, analysts must specify the values for seven working components [15]:</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Participants</w:t>
      </w:r>
      <w:r w:rsidDel="00000000" w:rsidR="00000000" w:rsidRPr="00000000">
        <w:rPr>
          <w:rFonts w:ascii="Google Sans Text" w:cs="Google Sans Text" w:eastAsia="Google Sans Text" w:hAnsi="Google Sans Text"/>
          <w:color w:val="1b1c1d"/>
          <w:rtl w:val="0"/>
        </w:rPr>
        <w:t xml:space="preserve"> (actors and their motivations).</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Positions</w:t>
      </w:r>
      <w:r w:rsidDel="00000000" w:rsidR="00000000" w:rsidRPr="00000000">
        <w:rPr>
          <w:rFonts w:ascii="Google Sans Text" w:cs="Google Sans Text" w:eastAsia="Google Sans Text" w:hAnsi="Google Sans Text"/>
          <w:color w:val="1b1c1d"/>
          <w:rtl w:val="0"/>
        </w:rPr>
        <w:t xml:space="preserve"> (the roles and responsibilities assigned to actors).</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Actions</w:t>
      </w:r>
      <w:r w:rsidDel="00000000" w:rsidR="00000000" w:rsidRPr="00000000">
        <w:rPr>
          <w:rFonts w:ascii="Google Sans Text" w:cs="Google Sans Text" w:eastAsia="Google Sans Text" w:hAnsi="Google Sans Text"/>
          <w:color w:val="1b1c1d"/>
          <w:rtl w:val="0"/>
        </w:rPr>
        <w:t xml:space="preserve"> (the permissible choices).</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Information</w:t>
      </w:r>
      <w:r w:rsidDel="00000000" w:rsidR="00000000" w:rsidRPr="00000000">
        <w:rPr>
          <w:rFonts w:ascii="Google Sans Text" w:cs="Google Sans Text" w:eastAsia="Google Sans Text" w:hAnsi="Google Sans Text"/>
          <w:color w:val="1b1c1d"/>
          <w:rtl w:val="0"/>
        </w:rPr>
        <w:t xml:space="preserve"> (what actors know about actions and outcomes).</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Linkages</w:t>
      </w:r>
      <w:r w:rsidDel="00000000" w:rsidR="00000000" w:rsidRPr="00000000">
        <w:rPr>
          <w:rFonts w:ascii="Google Sans Text" w:cs="Google Sans Text" w:eastAsia="Google Sans Text" w:hAnsi="Google Sans Text"/>
          <w:color w:val="1b1c1d"/>
          <w:rtl w:val="0"/>
        </w:rPr>
        <w:t xml:space="preserve"> (the connection between actions and potential outcomes).</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Potential Outcomes</w:t>
      </w:r>
      <w:r w:rsidDel="00000000" w:rsidR="00000000" w:rsidRPr="00000000">
        <w:rPr>
          <w:rFonts w:ascii="Google Sans Text" w:cs="Google Sans Text" w:eastAsia="Google Sans Text" w:hAnsi="Google Sans Text"/>
          <w:color w:val="1b1c1d"/>
          <w:rtl w:val="0"/>
        </w:rPr>
        <w:t xml:space="preserve"> (the range of possible results).</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Costs and Benefits (Payoffs)</w:t>
      </w:r>
      <w:r w:rsidDel="00000000" w:rsidR="00000000" w:rsidRPr="00000000">
        <w:rPr>
          <w:rFonts w:ascii="Google Sans Text" w:cs="Google Sans Text" w:eastAsia="Google Sans Text" w:hAnsi="Google Sans Text"/>
          <w:color w:val="1b1c1d"/>
          <w:rtl w:val="0"/>
        </w:rPr>
        <w:t xml:space="preserve"> (the consequences assigned to actions and outcomes).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constraints and incentives of an action situation are formally determined by the </w:t>
      </w:r>
      <w:r w:rsidDel="00000000" w:rsidR="00000000" w:rsidRPr="00000000">
        <w:rPr>
          <w:rFonts w:ascii="Google Sans Text" w:cs="Google Sans Text" w:eastAsia="Google Sans Text" w:hAnsi="Google Sans Text"/>
          <w:b w:val="1"/>
          <w:color w:val="1b1c1d"/>
          <w:rtl w:val="0"/>
        </w:rPr>
        <w:t xml:space="preserve">Rules-in-Use</w:t>
      </w:r>
      <w:r w:rsidDel="00000000" w:rsidR="00000000" w:rsidRPr="00000000">
        <w:rPr>
          <w:rFonts w:ascii="Google Sans Text" w:cs="Google Sans Text" w:eastAsia="Google Sans Text" w:hAnsi="Google Sans Text"/>
          <w:color w:val="1b1c1d"/>
          <w:rtl w:val="0"/>
        </w:rPr>
        <w:t xml:space="preserve">, which are themselves the result of interactions in adjacent action situations at a different level of analysis [15]. Institutional design therefore requires distinguishing between three hierarchical levels of rules [15, 16]:</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 Rules:</w:t>
      </w:r>
      <w:r w:rsidDel="00000000" w:rsidR="00000000" w:rsidRPr="00000000">
        <w:rPr>
          <w:rFonts w:ascii="Google Sans Text" w:cs="Google Sans Text" w:eastAsia="Google Sans Text" w:hAnsi="Google Sans Text"/>
          <w:color w:val="1b1c1d"/>
          <w:rtl w:val="0"/>
        </w:rPr>
        <w:t xml:space="preserve"> Govern day-to-day resource use and appropriation (e.g., setting harvest limits).</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Collective-Choice Rules:</w:t>
      </w:r>
      <w:r w:rsidDel="00000000" w:rsidR="00000000" w:rsidRPr="00000000">
        <w:rPr>
          <w:rFonts w:ascii="Google Sans Text" w:cs="Google Sans Text" w:eastAsia="Google Sans Text" w:hAnsi="Google Sans Text"/>
          <w:color w:val="1b1c1d"/>
          <w:rtl w:val="0"/>
        </w:rPr>
        <w:t xml:space="preserve"> Determine how operational rules are modified or created, essential for adaptability (related directly to Design Principle 3).</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Constitutional Rules:</w:t>
      </w:r>
      <w:r w:rsidDel="00000000" w:rsidR="00000000" w:rsidRPr="00000000">
        <w:rPr>
          <w:rFonts w:ascii="Google Sans Text" w:cs="Google Sans Text" w:eastAsia="Google Sans Text" w:hAnsi="Google Sans Text"/>
          <w:color w:val="1b1c1d"/>
          <w:rtl w:val="0"/>
        </w:rPr>
        <w:t xml:space="preserve"> Define who is eligible to participate in collective-choice processes and determine the fundamental organization of authority (related to Design Principle 7).</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complete typology, or "Grammar of Institutions," specifies the seven types of rules that structure these working components: Position, Boundary, Authority, Aggregation, Scope, Information, and Payoff rules [15].</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IAD's structural organization, particularly its explicit inclusion of the evaluation and feedback loop, defines institutions as dynamic, self-organizing systems rather than static structures. This built-in mechanism for reflection and adjustment is the engine of institutional regeneration. For sustainability to be achieved, participants must continuously use the framework to diagnose the relationship between their institutional settings, their actions, and the resultant ecological and social outcomes. This iterative, diagnostic methodology is central to designing institutions that can adapt to disturbance and maintain their integrity over time.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Governing Complexity: The Social-Ecological Systems (SES) Framework</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Integrating Social and Ecological Variables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Recognizing the inadequacy of analyzing common-pool resource problems solely through institutional lenses, the Social-Ecological Systems (SES) Framework was developed as a complementary diagnostic tool, specifically to integrate the myriad of social and ecological variables that jointly affect systemic outcomes [15, 17]. The SESF provides a highly structured methodology for analysts to diagnose dysfunctional performance by systematically identifying missing or deficient institutional components [15].</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SESF organizes its variables into multiple interacting components, typically examined at the first tier: Social, Economic, and Political Settings (S); Resource Systems (RS); Resource Units (RU); Governance Systems (GS); Actors (A); and Related Ecosystems (ECO) [15].</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second-tier variables reveal the complexity embedded in the SES:</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Systems (RS):</w:t>
      </w:r>
      <w:r w:rsidDel="00000000" w:rsidR="00000000" w:rsidRPr="00000000">
        <w:rPr>
          <w:rFonts w:ascii="Google Sans Text" w:cs="Google Sans Text" w:eastAsia="Google Sans Text" w:hAnsi="Google Sans Text"/>
          <w:color w:val="1b1c1d"/>
          <w:rtl w:val="0"/>
        </w:rPr>
        <w:t xml:space="preserve"> Analysts must assess system characteristics such as the clarity of system boundaries, productivity, and, critically, the </w:t>
      </w:r>
      <w:r w:rsidDel="00000000" w:rsidR="00000000" w:rsidRPr="00000000">
        <w:rPr>
          <w:rFonts w:ascii="Google Sans Text" w:cs="Google Sans Text" w:eastAsia="Google Sans Text" w:hAnsi="Google Sans Text"/>
          <w:b w:val="1"/>
          <w:color w:val="1b1c1d"/>
          <w:rtl w:val="0"/>
        </w:rPr>
        <w:t xml:space="preserve">predictability of system dynamics</w:t>
      </w:r>
      <w:r w:rsidDel="00000000" w:rsidR="00000000" w:rsidRPr="00000000">
        <w:rPr>
          <w:rFonts w:ascii="Google Sans Text" w:cs="Google Sans Text" w:eastAsia="Google Sans Text" w:hAnsi="Google Sans Text"/>
          <w:color w:val="1b1c1d"/>
          <w:rtl w:val="0"/>
        </w:rPr>
        <w:t xml:space="preserve"> [15]. The predictability variable directly dictates the complexity and flexibility required of the operational rules (DP 2).</w:t>
      </w:r>
    </w:p>
    <w:p w:rsidR="00000000" w:rsidDel="00000000" w:rsidP="00000000" w:rsidRDefault="00000000" w:rsidRPr="00000000" w14:paraId="0000003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Units (RU):</w:t>
      </w:r>
      <w:r w:rsidDel="00000000" w:rsidR="00000000" w:rsidRPr="00000000">
        <w:rPr>
          <w:rFonts w:ascii="Google Sans Text" w:cs="Google Sans Text" w:eastAsia="Google Sans Text" w:hAnsi="Google Sans Text"/>
          <w:color w:val="1b1c1d"/>
          <w:rtl w:val="0"/>
        </w:rPr>
        <w:t xml:space="preserve"> Variables include resource unit mobility (e.g., highly mobile fish stocks versus stationary trees), replacement rate, and economic value [5, 15]. High mobility often demands broader, coordinated governance structures (DP 8).</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Actors (A):</w:t>
      </w:r>
      <w:r w:rsidDel="00000000" w:rsidR="00000000" w:rsidRPr="00000000">
        <w:rPr>
          <w:rFonts w:ascii="Google Sans Text" w:cs="Google Sans Text" w:eastAsia="Google Sans Text" w:hAnsi="Google Sans Text"/>
          <w:color w:val="1b1c1d"/>
          <w:rtl w:val="0"/>
        </w:rPr>
        <w:t xml:space="preserve"> Analysis extends beyond the sheer number of users to include socioeconomic attributes, history of use, the presence of effective leadership/entrepreneurs, local norms (trust-reciprocity), knowledge of the SES, and resource dependence [15].</w:t>
      </w:r>
    </w:p>
    <w:p w:rsidR="00000000" w:rsidDel="00000000" w:rsidP="00000000" w:rsidRDefault="00000000" w:rsidRPr="00000000" w14:paraId="0000003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Outcomes (O):</w:t>
      </w:r>
      <w:r w:rsidDel="00000000" w:rsidR="00000000" w:rsidRPr="00000000">
        <w:rPr>
          <w:rFonts w:ascii="Google Sans Text" w:cs="Google Sans Text" w:eastAsia="Google Sans Text" w:hAnsi="Google Sans Text"/>
          <w:color w:val="1b1c1d"/>
          <w:rtl w:val="0"/>
        </w:rPr>
        <w:t xml:space="preserve"> Performance evaluation must rigorously balance traditional </w:t>
      </w:r>
      <w:r w:rsidDel="00000000" w:rsidR="00000000" w:rsidRPr="00000000">
        <w:rPr>
          <w:rFonts w:ascii="Google Sans Text" w:cs="Google Sans Text" w:eastAsia="Google Sans Text" w:hAnsi="Google Sans Text"/>
          <w:b w:val="1"/>
          <w:color w:val="1b1c1d"/>
          <w:rtl w:val="0"/>
        </w:rPr>
        <w:t xml:space="preserve">Social Performance Measures</w:t>
      </w:r>
      <w:r w:rsidDel="00000000" w:rsidR="00000000" w:rsidRPr="00000000">
        <w:rPr>
          <w:rFonts w:ascii="Google Sans Text" w:cs="Google Sans Text" w:eastAsia="Google Sans Text" w:hAnsi="Google Sans Text"/>
          <w:color w:val="1b1c1d"/>
          <w:rtl w:val="0"/>
        </w:rPr>
        <w:t xml:space="preserve"> (efficiency, equity, accountability) with </w:t>
      </w:r>
      <w:r w:rsidDel="00000000" w:rsidR="00000000" w:rsidRPr="00000000">
        <w:rPr>
          <w:rFonts w:ascii="Google Sans Text" w:cs="Google Sans Text" w:eastAsia="Google Sans Text" w:hAnsi="Google Sans Text"/>
          <w:b w:val="1"/>
          <w:color w:val="1b1c1d"/>
          <w:rtl w:val="0"/>
        </w:rPr>
        <w:t xml:space="preserve">Ecological Performance Measures</w:t>
      </w:r>
      <w:r w:rsidDel="00000000" w:rsidR="00000000" w:rsidRPr="00000000">
        <w:rPr>
          <w:rFonts w:ascii="Google Sans Text" w:cs="Google Sans Text" w:eastAsia="Google Sans Text" w:hAnsi="Google Sans Text"/>
          <w:color w:val="1b1c1d"/>
          <w:rtl w:val="0"/>
        </w:rPr>
        <w:t xml:space="preserve"> (resilience, biodiversity, sustainability) [15].</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Utility for Regenerative Design: Diagnosing Scale and Predictability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SESF is invaluable for regenerative institutional design because it facilitates the diagnosis of critical mismatches, particularly scale mismatch. If a local governance system (GS) attempts to manage a resource system (RS) or resource unit (RU) that operates at a much larger or more mobile scale, local rules are likely to fail, making external coordination essential [5, 15].</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framework explicitly elevates </w:t>
      </w:r>
      <w:r w:rsidDel="00000000" w:rsidR="00000000" w:rsidRPr="00000000">
        <w:rPr>
          <w:rFonts w:ascii="Google Sans Text" w:cs="Google Sans Text" w:eastAsia="Google Sans Text" w:hAnsi="Google Sans Text"/>
          <w:i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as a core objective. Robustness, defined as the long duration of institutions surviving major ecological or social disturbances [18, 19], becomes an outcome variable dependent on the Governance System's capacity to absorb and adapt to shocks originating in its environment. The sheer volume of interconnected variables (over 50 second-tier components) within the SESF profoundly demonstrates why simple generalizations or institutional "panaceas" are ineffective [15]. The framework mathematically illustrates that the probability of success is entirely contingent upon the specific configuration of these ecological, social, and political variables, validating why the institutional design principles themselves cannot be applied prescriptively in a "cookie-cutter" fashion but require systematic local adaptation [20]. The SESF thus provides the theoretical structure for selecting and configuring the appropriate combination of design principles necessary to match the complex reality of the resource being governed.</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Design Principles for Robust Common-Pool Resource Institutions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Design Principles (DPs) represent the culmination of Ostrom's comparative institutional analysis, identified as essential functional elements present in CPR institutions that have demonstrated robustness—the ability to endure disturbances for periods ranging from 100 to over 1000 years [1, 19]. These principles describe the institutional functionality required for sustained collective action.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Core Principles for System Definition and Fit (DP 1 &amp; 2)</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DP 1: Clearly Defined Boundaries.</w:t>
      </w:r>
      <w:r w:rsidDel="00000000" w:rsidR="00000000" w:rsidRPr="00000000">
        <w:rPr>
          <w:rFonts w:ascii="Google Sans Text" w:cs="Google Sans Text" w:eastAsia="Google Sans Text" w:hAnsi="Google Sans Text"/>
          <w:color w:val="1b1c1d"/>
          <w:rtl w:val="0"/>
        </w:rPr>
        <w:t xml:space="preserve"> This principle requires that both the physical or conceptual boundaries of the CPR itself and, crucially, the specific individuals or households authorized to withdraw resource units (the community of benefit) must be explicitly defined [19, 21]. The mechanism of action is foundational: clear boundaries enable the enforcement of exclusion, prevent the open-access dilemma, and establish a specific community to hold accountable [22, 23]. In large-scale contexts, such as cooperation over international river basins, the existence of clear boundary agreements significantly reduces potential conflict among appropriators [24].</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DP 2: Congruence of Rules and Local Conditions.</w:t>
      </w:r>
      <w:r w:rsidDel="00000000" w:rsidR="00000000" w:rsidRPr="00000000">
        <w:rPr>
          <w:rFonts w:ascii="Google Sans Text" w:cs="Google Sans Text" w:eastAsia="Google Sans Text" w:hAnsi="Google Sans Text"/>
          <w:color w:val="1b1c1d"/>
          <w:rtl w:val="0"/>
        </w:rPr>
        <w:t xml:space="preserve"> The appropriation rules (restricting time, place, technology, or quantity of harvest) and the provision rules (requiring labor or monetary contributions for maintenance) must be specifically related to local ecological and social conditions [19, 21, 25]. This principle ensures that the institutional rules achieve a high degree of ecological fitness and legitimacy, providing proportional equivalence between the benefits users receive and the costs (labor, money) they incur [26]. The primary failure mode for this principle is institutional rigidity—the inability or unwillingness of the community to adapt or modify rules when local conditions (environmental, economic, or political) undergo significant change [27].</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Principles for Rule Legitimacy and Internal Governance (DP 3, 4, 5, &amp; 6)</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DP 3: Collective-Choice Arrangements.</w:t>
      </w:r>
      <w:r w:rsidDel="00000000" w:rsidR="00000000" w:rsidRPr="00000000">
        <w:rPr>
          <w:rFonts w:ascii="Google Sans Text" w:cs="Google Sans Text" w:eastAsia="Google Sans Text" w:hAnsi="Google Sans Text"/>
          <w:color w:val="1b1c1d"/>
          <w:rtl w:val="0"/>
        </w:rPr>
        <w:t xml:space="preserve"> This principle mandates that most individuals affected by the operational rules must have the right to participate in modifying those rules at the collective-choice level [19, 21]. Participatory decision-making is vital for generating legitimacy and user buy-in, ensuring that people are more likely to comply with rules they helped devise [22]. Furthermore, participation mobilizes crucial local ecological and social knowledge necessary for adaptive rule-making.</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DP 4: Monitoring.</w:t>
      </w:r>
      <w:r w:rsidDel="00000000" w:rsidR="00000000" w:rsidRPr="00000000">
        <w:rPr>
          <w:rFonts w:ascii="Google Sans Text" w:cs="Google Sans Text" w:eastAsia="Google Sans Text" w:hAnsi="Google Sans Text"/>
          <w:color w:val="1b1c1d"/>
          <w:rtl w:val="0"/>
        </w:rPr>
        <w:t xml:space="preserve"> The system must feature monitors—who are either the appropriators themselves or officials accountable to them—tasked with actively auditing the CPR's condition and the behavior of appropriators [19, 21]. Effective monitoring ensures accountability, reinforcing that commons governance relies on mutual oversight rather than mere goodwill [22]. Monitoring also feeds necessary data back into the IAD/SES diagnostic processes, enabling informed adaptation.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DP 5: Graduated Sanctions.</w:t>
      </w:r>
      <w:r w:rsidDel="00000000" w:rsidR="00000000" w:rsidRPr="00000000">
        <w:rPr>
          <w:rFonts w:ascii="Google Sans Text" w:cs="Google Sans Text" w:eastAsia="Google Sans Text" w:hAnsi="Google Sans Text"/>
          <w:color w:val="1b1c1d"/>
          <w:rtl w:val="0"/>
        </w:rPr>
        <w:t xml:space="preserve"> Appropriators who violate operational rules must be subject to sanctions that are scaled incrementally based on the seriousness and context of the offense [19, 21]. This mechanism provides a structured, incremental response designed to deter non-compliance quickly, ensuring the integrity of the institutional order without resorting to overly severe penalties that might erode trust and cooperation norms [28, 29]. The effectiveness of sanctions is contingent on their perceived justice and consistent enforcement; non-enforcement or excessively severe sanctions constitute major failure modes.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DP 6: Conflict-Resolution Mechanisms.</w:t>
      </w:r>
      <w:r w:rsidDel="00000000" w:rsidR="00000000" w:rsidRPr="00000000">
        <w:rPr>
          <w:rFonts w:ascii="Google Sans Text" w:cs="Google Sans Text" w:eastAsia="Google Sans Text" w:hAnsi="Google Sans Text"/>
          <w:color w:val="1b1c1d"/>
          <w:rtl w:val="0"/>
        </w:rPr>
        <w:t xml:space="preserve"> Appropriators and their officials must have rapid access to local, low-cost arenas for resolving conflicts [19, 21]. This mechanism is crucial for minimizing the transaction costs associated with conflict, diverting disputes away from expensive, external litigation, and maintaining institutional functionality [30, 31].</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Principles for Institutional Autonomy and Scale (DP 7 &amp; 8)</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DP 7: Minimal Recognition of Rights to Organize.</w:t>
      </w:r>
      <w:r w:rsidDel="00000000" w:rsidR="00000000" w:rsidRPr="00000000">
        <w:rPr>
          <w:rFonts w:ascii="Google Sans Text" w:cs="Google Sans Text" w:eastAsia="Google Sans Text" w:hAnsi="Google Sans Text"/>
          <w:color w:val="1b1c1d"/>
          <w:rtl w:val="0"/>
        </w:rPr>
        <w:t xml:space="preserve"> The authority of appropriators to devise their own institutions must not be challenged or overridden by external governmental authorities [19, 21, 26]. This guarantee of institutional autonomy is essential, as it protects the legitimacy (DP 3) and adaptive capacity (DP 2) of local rules [32]. Historically, institutional failure often results when external forces impose ill-fitting rules or nationalize resources, diminishing local control and, often, negatively affecting equity within the community (e.g., reducing women's decision-making power) [33].</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DP 8: Nested Enterprises (Polycentricity).</w:t>
      </w:r>
      <w:r w:rsidDel="00000000" w:rsidR="00000000" w:rsidRPr="00000000">
        <w:rPr>
          <w:rFonts w:ascii="Google Sans Text" w:cs="Google Sans Text" w:eastAsia="Google Sans Text" w:hAnsi="Google Sans Text"/>
          <w:color w:val="1b1c1d"/>
          <w:rtl w:val="0"/>
        </w:rPr>
        <w:t xml:space="preserve"> For CPRs that are part of larger social or ecological systems, governance activities—including appropriation, provision, monitoring, enforcement, and conflict resolution—must be organized in multiple, coordinated layers or "nested enterprises" [19, 21, 26]. This principle implements the concept of </w:t>
      </w:r>
      <w:r w:rsidDel="00000000" w:rsidR="00000000" w:rsidRPr="00000000">
        <w:rPr>
          <w:rFonts w:ascii="Google Sans Text" w:cs="Google Sans Text" w:eastAsia="Google Sans Text" w:hAnsi="Google Sans Text"/>
          <w:b w:val="1"/>
          <w:color w:val="1b1c1d"/>
          <w:rtl w:val="0"/>
        </w:rPr>
        <w:t xml:space="preserve">scale matching</w:t>
      </w:r>
      <w:r w:rsidDel="00000000" w:rsidR="00000000" w:rsidRPr="00000000">
        <w:rPr>
          <w:rFonts w:ascii="Google Sans Text" w:cs="Google Sans Text" w:eastAsia="Google Sans Text" w:hAnsi="Google Sans Text"/>
          <w:color w:val="1b1c1d"/>
          <w:rtl w:val="0"/>
        </w:rPr>
        <w:t xml:space="preserve">, asserting that every sphere of activity has an optimal scale. Large-scale management therefore relies on polycentric governance to appropriately coordinate activities across these layers [26].</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of the DPs depends fundamentally on their synergistic configuration. Research has confirmed that successful resource management relies less on the mere presence of individual principles and more on their </w:t>
      </w:r>
      <w:r w:rsidDel="00000000" w:rsidR="00000000" w:rsidRPr="00000000">
        <w:rPr>
          <w:rFonts w:ascii="Google Sans Text" w:cs="Google Sans Text" w:eastAsia="Google Sans Text" w:hAnsi="Google Sans Text"/>
          <w:i w:val="1"/>
          <w:color w:val="1b1c1d"/>
          <w:rtl w:val="0"/>
        </w:rPr>
        <w:t xml:space="preserve">co-occurrence</w:t>
      </w:r>
      <w:r w:rsidDel="00000000" w:rsidR="00000000" w:rsidRPr="00000000">
        <w:rPr>
          <w:rFonts w:ascii="Google Sans Text" w:cs="Google Sans Text" w:eastAsia="Google Sans Text" w:hAnsi="Google Sans Text"/>
          <w:color w:val="1b1c1d"/>
          <w:rtl w:val="0"/>
        </w:rPr>
        <w:t xml:space="preserve"> and functional interconnection, operating as resilient institutional modules [34]. For example, collective choice (DP 3) is strongly associated with the minimal recognition of rights (DP 7), as one enables the other.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their empirical robustness, the DPs present an analytical paradox: they reliably diagnose characteristics of either long-lasting institutions or short-lived (failed) ones, but they do not conclusively diagnose the functionality of young, viable institutions [19]. This suggests that the DPs measure institutional maturity and resilience rather than immediate performance. Although Ostrom and her colleagues observed that fragility correlates with the absence of "most" DPs, the measurement threshold remains qualitative [18]. The framework’s utility is therefore best viewed as a powerful diagnostic tool for identifying specific, missing institutional functions that predispose a governance system to failure, thereby guiding targeted institutional redesign.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II illustrates the fundamental mechanisms and failure modes associated with the DPs.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II: Mechanisms and Failure Modes of the Core Design Principles (DPs)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DP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Mechanism of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High-Level Failure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IAD/SES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Clearly Defined Boundaries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Establishes user identity; facilitates exclusion; reduces conflict potential [23, 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Open-access/Unfettered entry (Hardin's mistake) [2, 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System (RS) Clarity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Congruence of Rules/Conditions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Ensures ecological fit; maximizes local efficiency; proportional equivalence of costs/benefits [25, 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Institutional Rigidity; Non-compliance during environmental change [27]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Predictability of System Dynamics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Collective-Choice Arrangements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Generates rule legitimacy and buy-in; mobilizes tacit local knowledge [22]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Top-down rule imposition; lack of participation; elite capture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Collective-Choice Rules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Ensures accountability; provides necessary data for feedback/adaptation [22, 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constraints on monitors (high workload) [36]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Information Rules, Monitoring Activities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Graduated Sanctions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Deterrence through incremental responses; preserves cooperation norms via justice [12, 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cost of sanctioning reducing net returns; non-enforcement (loss of credibility)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Payoff Rules, Norms (Reciprocity)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Conflict-Resolution Mechanisms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Reduces transaction costs of conflict; maintains system functionality via low-cost local arenas [21, 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Conflict escalation; reliance on costly, external judicial systems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Conflict Resolution Rules, Interactions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Minimal Recognition of Rights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Guarantees autonomy for self-determination and adaptation [26]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External challenge/override by higher authorities (e.g., nationalization) [33]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Constitutional Rules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Nested Enterprises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scale matching (subsidiarity); ensures appropriate coordination [26]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Scale mismatch; coordination failures; jurisdictional fragmentation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Polycentric Governance, Network Structure [15]</w:t>
            </w:r>
          </w:p>
        </w:tc>
      </w:tr>
    </w:tbl>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Institutional Failure and Contingency Analysis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Failure Modes of CPR Institutions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Institutional failure in the Ostrom framework extends beyond the simple collapse of the resource system. A key analytical distinction is drawn between </w:t>
      </w:r>
      <w:r w:rsidDel="00000000" w:rsidR="00000000" w:rsidRPr="00000000">
        <w:rPr>
          <w:rFonts w:ascii="Google Sans Text" w:cs="Google Sans Text" w:eastAsia="Google Sans Text" w:hAnsi="Google Sans Text"/>
          <w:b w:val="1"/>
          <w:color w:val="1b1c1d"/>
          <w:rtl w:val="0"/>
        </w:rPr>
        <w:t xml:space="preserve">robustness</w:t>
      </w:r>
      <w:r w:rsidDel="00000000" w:rsidR="00000000" w:rsidRPr="00000000">
        <w:rPr>
          <w:rFonts w:ascii="Google Sans Text" w:cs="Google Sans Text" w:eastAsia="Google Sans Text" w:hAnsi="Google Sans Text"/>
          <w:color w:val="1b1c1d"/>
          <w:rtl w:val="0"/>
        </w:rPr>
        <w:t xml:space="preserve"> (endurance through time and adaptive change) and </w:t>
      </w:r>
      <w:r w:rsidDel="00000000" w:rsidR="00000000" w:rsidRPr="00000000">
        <w:rPr>
          <w:rFonts w:ascii="Google Sans Text" w:cs="Google Sans Text" w:eastAsia="Google Sans Text" w:hAnsi="Google Sans Text"/>
          <w:b w:val="1"/>
          <w:color w:val="1b1c1d"/>
          <w:rtl w:val="0"/>
        </w:rPr>
        <w:t xml:space="preserve">success</w:t>
      </w:r>
      <w:r w:rsidDel="00000000" w:rsidR="00000000" w:rsidRPr="00000000">
        <w:rPr>
          <w:rFonts w:ascii="Google Sans Text" w:cs="Google Sans Text" w:eastAsia="Google Sans Text" w:hAnsi="Google Sans Text"/>
          <w:color w:val="1b1c1d"/>
          <w:rtl w:val="0"/>
        </w:rPr>
        <w:t xml:space="preserve"> (achieving objectives with efficiency and equity) [18]. An institution may be robust—lasting for centuries—but still fail to deliver equitable or maximally efficient outcomes.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failure to maintain congruence (DP 2) often manifests as institutional myopia, where the governance system fails to adapt operational rules quickly enough in response to shifting ecological, economic, or political conditions [27]. Furthermore, a critical, emergent failure mode is the </w:t>
      </w:r>
      <w:r w:rsidDel="00000000" w:rsidR="00000000" w:rsidRPr="00000000">
        <w:rPr>
          <w:rFonts w:ascii="Google Sans Text" w:cs="Google Sans Text" w:eastAsia="Google Sans Text" w:hAnsi="Google Sans Text"/>
          <w:b w:val="1"/>
          <w:color w:val="1b1c1d"/>
          <w:rtl w:val="0"/>
        </w:rPr>
        <w:t xml:space="preserve">tragedy of co-design</w:t>
      </w:r>
      <w:r w:rsidDel="00000000" w:rsidR="00000000" w:rsidRPr="00000000">
        <w:rPr>
          <w:rFonts w:ascii="Google Sans Text" w:cs="Google Sans Text" w:eastAsia="Google Sans Text" w:hAnsi="Google Sans Text"/>
          <w:color w:val="1b1c1d"/>
          <w:rtl w:val="0"/>
        </w:rPr>
        <w:t xml:space="preserve">, wherein the collaborative effort itself fails to manage the potential for creating negative externalities or "dis/value" among co-creators [37]. This occurs when the design principles are implemented rigidly, preventing the nuanced, context-specific application required for true sustainability [5].</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Internal weakness often stems from a breakdown in the accountability mechanisms (DP 4 and DP 5), leading to a loss of credibility in the rules. Since Ostrom’s methodology is diagnostic, the most significant failure indication is the structural absence of key institutional functions. While specific quantitative thresholds are elusive, sustainable self-organizations are reliably characterized by the presence of </w:t>
      </w:r>
      <w:r w:rsidDel="00000000" w:rsidR="00000000" w:rsidRPr="00000000">
        <w:rPr>
          <w:rFonts w:ascii="Google Sans Text" w:cs="Google Sans Text" w:eastAsia="Google Sans Text" w:hAnsi="Google Sans Text"/>
          <w:i w:val="1"/>
          <w:color w:val="1b1c1d"/>
          <w:rtl w:val="0"/>
        </w:rPr>
        <w:t xml:space="preserve">most</w:t>
      </w:r>
      <w:r w:rsidDel="00000000" w:rsidR="00000000" w:rsidRPr="00000000">
        <w:rPr>
          <w:rFonts w:ascii="Google Sans Text" w:cs="Google Sans Text" w:eastAsia="Google Sans Text" w:hAnsi="Google Sans Text"/>
          <w:color w:val="1b1c1d"/>
          <w:rtl w:val="0"/>
        </w:rPr>
        <w:t xml:space="preserve"> DPs, whereas fragile or failed institutions exhibit only </w:t>
      </w:r>
      <w:r w:rsidDel="00000000" w:rsidR="00000000" w:rsidRPr="00000000">
        <w:rPr>
          <w:rFonts w:ascii="Google Sans Text" w:cs="Google Sans Text" w:eastAsia="Google Sans Text" w:hAnsi="Google Sans Text"/>
          <w:i w:val="1"/>
          <w:color w:val="1b1c1d"/>
          <w:rtl w:val="0"/>
        </w:rPr>
        <w:t xml:space="preserve">some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few</w:t>
      </w:r>
      <w:r w:rsidDel="00000000" w:rsidR="00000000" w:rsidRPr="00000000">
        <w:rPr>
          <w:rFonts w:ascii="Google Sans Text" w:cs="Google Sans Text" w:eastAsia="Google Sans Text" w:hAnsi="Google Sans Text"/>
          <w:color w:val="1b1c1d"/>
          <w:rtl w:val="0"/>
        </w:rPr>
        <w:t xml:space="preserve"> [18]. The absence of functional conflict resolution, for instance, leads directly to high transaction costs, rendering governance non-viable.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Critiques and Necessary Refinements of the Framework</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Ostromian framework, despite its power, is subject to continuous refinement and critique, especially when applied to contexts far removed from the small-scale, natural resource commons that provided the initial data set.</w:t>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Post-Colonial and Contextual Critique:</w:t>
      </w:r>
      <w:r w:rsidDel="00000000" w:rsidR="00000000" w:rsidRPr="00000000">
        <w:rPr>
          <w:rFonts w:ascii="Google Sans Text" w:cs="Google Sans Text" w:eastAsia="Google Sans Text" w:hAnsi="Google Sans Text"/>
          <w:color w:val="1b1c1d"/>
          <w:rtl w:val="0"/>
        </w:rPr>
        <w:t xml:space="preserve"> Scholars note the danger of an uncritical, "copy/paste" application of the framework, which risks overlooking the profound historical, cultural, and political complexity of local systems [38]. For instance, in regions like Oceania, customary property rights embedded in deep historical context may not align neatly with the DP checklist [39]. This critique emphasizes that analysts must prioritize the IAD/SES diagnostic process to identify key contextual variables and their influence on success or failure, rather than using the DPs solely as a prescriptive checklist.</w:t>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Partnership vs. Commons Confusion:</w:t>
      </w:r>
      <w:r w:rsidDel="00000000" w:rsidR="00000000" w:rsidRPr="00000000">
        <w:rPr>
          <w:rFonts w:ascii="Google Sans Text" w:cs="Google Sans Text" w:eastAsia="Google Sans Text" w:hAnsi="Google Sans Text"/>
          <w:color w:val="1b1c1d"/>
          <w:rtl w:val="0"/>
        </w:rPr>
        <w:t xml:space="preserve"> A theoretical critique suggests that Ostrom, in her empirical work, did not always sufficiently distinguish between a true commons (where exclusion of outsiders is difficult) and </w:t>
      </w:r>
      <w:r w:rsidDel="00000000" w:rsidR="00000000" w:rsidRPr="00000000">
        <w:rPr>
          <w:rFonts w:ascii="Google Sans Text" w:cs="Google Sans Text" w:eastAsia="Google Sans Text" w:hAnsi="Google Sans Text"/>
          <w:b w:val="1"/>
          <w:color w:val="1b1c1d"/>
          <w:rtl w:val="0"/>
        </w:rPr>
        <w:t xml:space="preserve">partnership arrangements</w:t>
      </w:r>
      <w:r w:rsidDel="00000000" w:rsidR="00000000" w:rsidRPr="00000000">
        <w:rPr>
          <w:rFonts w:ascii="Google Sans Text" w:cs="Google Sans Text" w:eastAsia="Google Sans Text" w:hAnsi="Google Sans Text"/>
          <w:color w:val="1b1c1d"/>
          <w:rtl w:val="0"/>
        </w:rPr>
        <w:t xml:space="preserve"> (where exclusion is feasible and often legally enforced by the community) [40]. If the successful cases rely on state enforcement to protect community rights (DP 7), the assertion of full self-governance autonomy may be overstated. Regenerative design must precisely clarify the necessary legal environment that secures the rights of local organizations (DP 7) without undermining their independence.</w:t>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Gender and Equity:</w:t>
      </w:r>
      <w:r w:rsidDel="00000000" w:rsidR="00000000" w:rsidRPr="00000000">
        <w:rPr>
          <w:rFonts w:ascii="Google Sans Text" w:cs="Google Sans Text" w:eastAsia="Google Sans Text" w:hAnsi="Google Sans Text"/>
          <w:color w:val="1b1c1d"/>
          <w:rtl w:val="0"/>
        </w:rPr>
        <w:t xml:space="preserve"> Feminist analysis points out that while commons governance offers an alternative to the private-state dualism, the connection between commons management and gender equality is not systematic [33]. Nationalization or privatization processes have historically been shown to weaken women’s economic status by reducing their decision-making power [33]. Therefore, to ensure that social outcomes meet equity criteria, the institutional design process must explicitly incorporate a gender perspective into the collective-choice arrangements (DP 3) [41].</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persistent challenge of subjectively classifying DP adherence (using terms like "most," "some," or "few") confirms the transition in the framework’s primary function. It is utilized less as a prescriptive formula for guaranteed success and more as a powerful analytical architecture—a diagnostic map—for identifying where institutional functions are deficient, thereby guiding targeted, context-sensitive institutional reconstruction.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Polycentricity and Multi-Scale Governance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Theory of Polycentric Governance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Polycentricity is the overarching macro-governance structure that integrates the self-governance capabilities found in successful commons (DP 8) into large-scale systems. Formulated by Vincent and Elinor Ostrom, polycentricity describes a system characterized by </w:t>
      </w:r>
      <w:r w:rsidDel="00000000" w:rsidR="00000000" w:rsidRPr="00000000">
        <w:rPr>
          <w:rFonts w:ascii="Google Sans Text" w:cs="Google Sans Text" w:eastAsia="Google Sans Text" w:hAnsi="Google Sans Text"/>
          <w:b w:val="1"/>
          <w:color w:val="1b1c1d"/>
          <w:rtl w:val="0"/>
        </w:rPr>
        <w:t xml:space="preserve">many interdependent but relatively autonomous organizational units</w:t>
      </w:r>
      <w:r w:rsidDel="00000000" w:rsidR="00000000" w:rsidRPr="00000000">
        <w:rPr>
          <w:rFonts w:ascii="Google Sans Text" w:cs="Google Sans Text" w:eastAsia="Google Sans Text" w:hAnsi="Google Sans Text"/>
          <w:color w:val="1b1c1d"/>
          <w:rtl w:val="0"/>
        </w:rPr>
        <w:t xml:space="preserve"> with overlapping jurisdictions and functional responsibilities [42, 43].</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 moves away from the simplified market vs. state dichotomy, embracing institutional diversity across multiple scales. Autonomous units interact through dynamic processes of mutual adjustment, including cooperation, competition, conflict, and conflict resolution [42]. Early empirical research validated the partial advantages of polycentric arrangements, particularly in metropolitan police and water industries, demonstrating that systems using a mix of large and small producers could achieve optimal economies of scale and higher public satisfaction than unitary (monocentric) governance forms [5, 42].</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Polycentricity operationalizes the principle of </w:t>
      </w:r>
      <w:r w:rsidDel="00000000" w:rsidR="00000000" w:rsidRPr="00000000">
        <w:rPr>
          <w:rFonts w:ascii="Google Sans Text" w:cs="Google Sans Text" w:eastAsia="Google Sans Text" w:hAnsi="Google Sans Text"/>
          <w:b w:val="1"/>
          <w:color w:val="1b1c1d"/>
          <w:rtl w:val="0"/>
        </w:rPr>
        <w:t xml:space="preserve">subsidiarity</w:t>
      </w:r>
      <w:r w:rsidDel="00000000" w:rsidR="00000000" w:rsidRPr="00000000">
        <w:rPr>
          <w:rFonts w:ascii="Google Sans Text" w:cs="Google Sans Text" w:eastAsia="Google Sans Text" w:hAnsi="Google Sans Text"/>
          <w:color w:val="1b1c1d"/>
          <w:rtl w:val="0"/>
        </w:rPr>
        <w:t xml:space="preserve"> [26]. Subsidiarity mandates that governance tasks be decentralized to the lowest jurisdictional level with the capacity to conduct them satisfactorily [44]. This is the theoretical basis for Design Principle 8 (Nested Enterprises), ensuring that rules and institutional activities are scale-matched to the resource characteristics they govern [26]. Polycentric systems are expected to generate outcomes that exhibit positive characteristics of emergent order and institutional robustness [43].</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inherent institutional redundancy within a polycentric structure acts as a systemic shock absorber. By avoiding reliance on a single, unitary authority, the system mitigates the risk of catastrophic, system-wide failure resulting from a single flawed policy. The existence of multiple, parallel, and autonomous decision centers allows for continuous institutional experimentation and learning, significantly increasing the overall adaptive capacity and resilience of the macro-governance structure.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III contrasts the characteristics of idealized monocentric and polycentric systems.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III: Comparison of Monocentric vs. Polycentric Governance Systems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Monocentric System (Idealized State/Market)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Polycentric System (Ostrom/Bloomington School)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Centralized, hierarchical, unitary authority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Multiple, autonomous, yet interdependent decision centers [42]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Adaptability/Learning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high institutional inertia; prone to "panaceas"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experimentation across multiple units; dynamic learning capacity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Accountability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Clear chain of command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complexity; difficult to ascertain accountability (Failure Trap 3) [43]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Risk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institutional diversity; high risk of catastrophic systemic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institutional redundancy; risk mitigated by localized failures [43]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Risks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Bureaucratic rigidity; "one-size-fits-all"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Structural Inequities; Coordination Failures (Traps 1, 5) [43]</w:t>
            </w:r>
          </w:p>
        </w:tc>
      </w:tr>
    </w:tbl>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Implementation Traps and Weaknesses of Proto-Polycentric Systems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normatively appealing, practical approximations of polycentric governance (proto-polycentric systems) are subject to inherent shortcomings [43]. Analysts within the Bloomington School have identified six potential traps or failures:</w:t>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Structural Inequities:</w:t>
      </w:r>
      <w:r w:rsidDel="00000000" w:rsidR="00000000" w:rsidRPr="00000000">
        <w:rPr>
          <w:rFonts w:ascii="Google Sans Text" w:cs="Google Sans Text" w:eastAsia="Google Sans Text" w:hAnsi="Google Sans Text"/>
          <w:color w:val="1b1c1d"/>
          <w:rtl w:val="0"/>
        </w:rPr>
        <w:t xml:space="preserve"> This occurs when organized, advantaged groups find it easier to coordinate collective action to exploit or repress other groups, often succeeding in shifting the costs of their own collective choices onto the less-organized [43].</w:t>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Incremental Bias:</w:t>
      </w:r>
      <w:r w:rsidDel="00000000" w:rsidR="00000000" w:rsidRPr="00000000">
        <w:rPr>
          <w:rFonts w:ascii="Google Sans Text" w:cs="Google Sans Text" w:eastAsia="Google Sans Text" w:hAnsi="Google Sans Text"/>
          <w:color w:val="1b1c1d"/>
          <w:rtl w:val="0"/>
        </w:rPr>
        <w:t xml:space="preserve"> A tendency for institutional changes to proceed through small, measured steps, which may make the system slow to adapt to rapid, large-scale external disturbances.</w:t>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High Levels of Complexity:</w:t>
      </w:r>
      <w:r w:rsidDel="00000000" w:rsidR="00000000" w:rsidRPr="00000000">
        <w:rPr>
          <w:rFonts w:ascii="Google Sans Text" w:cs="Google Sans Text" w:eastAsia="Google Sans Text" w:hAnsi="Google Sans Text"/>
          <w:color w:val="1b1c1d"/>
          <w:rtl w:val="0"/>
        </w:rPr>
        <w:t xml:space="preserve"> The multiplicity of overlapping jurisdictions, while increasing resilience, weakens the link between public officials and policy outcomes, making it difficult for citizens to ascertain accountability and increasing the transaction costs associated with community organization and monitoring [43].</w:t>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Structural Fissures:</w:t>
      </w:r>
      <w:r w:rsidDel="00000000" w:rsidR="00000000" w:rsidRPr="00000000">
        <w:rPr>
          <w:rFonts w:ascii="Google Sans Text" w:cs="Google Sans Text" w:eastAsia="Google Sans Text" w:hAnsi="Google Sans Text"/>
          <w:color w:val="1b1c1d"/>
          <w:rtl w:val="0"/>
        </w:rPr>
        <w:t xml:space="preserve"> Gaps or non-overlapping areas in jurisdictional coverage, resulting in certain resources or problems remaining ungoverned or subjected to conflicting institutional mandates.</w:t>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Coordination Failures:</w:t>
      </w:r>
      <w:r w:rsidDel="00000000" w:rsidR="00000000" w:rsidRPr="00000000">
        <w:rPr>
          <w:rFonts w:ascii="Google Sans Text" w:cs="Google Sans Text" w:eastAsia="Google Sans Text" w:hAnsi="Google Sans Text"/>
          <w:color w:val="1b1c1d"/>
          <w:rtl w:val="0"/>
        </w:rPr>
        <w:t xml:space="preserve"> The ideal system assumes effective coordination between autonomous units; however, in practice, the extent and quality of this inter-jurisdictional collaboration are often insufficient, especially when managing highly mobile or large-scale CPRs [43].</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Lack of Normative Clarity:</w:t>
      </w:r>
      <w:r w:rsidDel="00000000" w:rsidR="00000000" w:rsidRPr="00000000">
        <w:rPr>
          <w:rFonts w:ascii="Google Sans Text" w:cs="Google Sans Text" w:eastAsia="Google Sans Text" w:hAnsi="Google Sans Text"/>
          <w:color w:val="1b1c1d"/>
          <w:rtl w:val="0"/>
        </w:rPr>
        <w:t xml:space="preserve"> This is a critical trap, acknowledging that autonomous groups may cooperate for perverse goals, such as colluding to exploit a shared resource or repress vulnerable user groups, thereby undermining the general normative order [43].</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governance must also address not only the vertical relationship inherent in subsidiarity but also </w:t>
      </w:r>
      <w:r w:rsidDel="00000000" w:rsidR="00000000" w:rsidRPr="00000000">
        <w:rPr>
          <w:rFonts w:ascii="Google Sans Text" w:cs="Google Sans Text" w:eastAsia="Google Sans Text" w:hAnsi="Google Sans Text"/>
          <w:b w:val="1"/>
          <w:color w:val="1b1c1d"/>
          <w:rtl w:val="0"/>
        </w:rPr>
        <w:t xml:space="preserve">horizontality</w:t>
      </w:r>
      <w:r w:rsidDel="00000000" w:rsidR="00000000" w:rsidRPr="00000000">
        <w:rPr>
          <w:rFonts w:ascii="Google Sans Text" w:cs="Google Sans Text" w:eastAsia="Google Sans Text" w:hAnsi="Google Sans Text"/>
          <w:color w:val="1b1c1d"/>
          <w:rtl w:val="0"/>
        </w:rPr>
        <w:t xml:space="preserve">—the problem of dominance among similarly situated autonomous units [45]. Institutional design must incorporate mechanisms to mitigate structural inequities and prevent the perverse cooperation of powerful local units that could otherwise compromise the integrity of the broader polycentric system.</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Modern Applications, Critiques, and Regenerative Design Synthesis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Extending the Commons: Application to Non-Traditional Resources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Ostromian framework has demonstrated impressive theoretical elasticity, extending its application far beyond natural resource management to complex, large-scale systems, including global and digital commons. For complex global challenges, such as climate change or biodiversity loss, the massive scale of coordination problems renders simple bilateral mechanisms inefficient [11]. Here, the framework is utilized diagnostically, leveraging polycentric structures (DP 8) to organize the activities necessary for provision, monitoring, and governance across multiple jurisdictional scales [26].</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to the </w:t>
      </w:r>
      <w:r w:rsidDel="00000000" w:rsidR="00000000" w:rsidRPr="00000000">
        <w:rPr>
          <w:rFonts w:ascii="Google Sans Text" w:cs="Google Sans Text" w:eastAsia="Google Sans Text" w:hAnsi="Google Sans Text"/>
          <w:b w:val="1"/>
          <w:color w:val="1b1c1d"/>
          <w:rtl w:val="0"/>
        </w:rPr>
        <w:t xml:space="preserve">Digital Commons</w:t>
      </w:r>
      <w:r w:rsidDel="00000000" w:rsidR="00000000" w:rsidRPr="00000000">
        <w:rPr>
          <w:rFonts w:ascii="Google Sans Text" w:cs="Google Sans Text" w:eastAsia="Google Sans Text" w:hAnsi="Google Sans Text"/>
          <w:color w:val="1b1c1d"/>
          <w:rtl w:val="0"/>
        </w:rPr>
        <w:t xml:space="preserve"> (e.g., Free/Open Source Software, Wikipedia, data commons) requires significant conceptual adaptation [46]. Principle 1 (Boundaries) is redefined from physical limits to a conceptual boundary defined by a clear purpose, a prioritized set of values, and a well-scoped mission, determining who can contribute and access the data resource [47]. Principle 8 (Nested Enterprises) is reinterpreted as the necessity for </w:t>
      </w:r>
      <w:r w:rsidDel="00000000" w:rsidR="00000000" w:rsidRPr="00000000">
        <w:rPr>
          <w:rFonts w:ascii="Google Sans Text" w:cs="Google Sans Text" w:eastAsia="Google Sans Text" w:hAnsi="Google Sans Text"/>
          <w:b w:val="1"/>
          <w:color w:val="1b1c1d"/>
          <w:rtl w:val="0"/>
        </w:rPr>
        <w:t xml:space="preserve">interoperability</w:t>
      </w:r>
      <w:r w:rsidDel="00000000" w:rsidR="00000000" w:rsidRPr="00000000">
        <w:rPr>
          <w:rFonts w:ascii="Google Sans Text" w:cs="Google Sans Text" w:eastAsia="Google Sans Text" w:hAnsi="Google Sans Text"/>
          <w:color w:val="1b1c1d"/>
          <w:rtl w:val="0"/>
        </w:rPr>
        <w:t xml:space="preserve"> between smaller, specialized data commons, allowing for localized decision-making while maintaining cohesion with the larger digital ecosystem [47]. The ongoing application to digital governance demonstrates the framework’s enduring relevance in engineering self-organizing electronic institutions where sustainability, endurance, and fairness are prioritized over static resource allocation [46].</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Ostromian Framework for Regenerative Institutional Design</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complete Ostromian theoretical apparatus—integrating the IAD/SES diagnostic methodology, the empirically validated Design Principles, and the macro-structure of Polycentric Governance—provides a powerful toolset for regenerative institutional design. This approach centers on creating governance systems that are not merely sustainable but are highly adaptive and capable of prioritizing ecological resilience alongside social performance outcomes like efficiency and equity [15].</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imperative for regenerative institutional design is the utilization of the SES framework to constantly maintain diagnostic capacity, enabling actors to map contextual changes in ecological (resource predictability, unit mobility) and social (economic trends, political stability) variables. This diagnostic information must feed into robust mechanisms for institutional adaptivity, particularly strong collective-choice procedures (DP 3) and guaranteed autonomy (DP 7), which are necessary to ensure rules maintain congruence (DP 2) despite environmental or political shocks [27].</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effective scale management requires implementing polycentric, nested governance (DP 8/Subsidiarity) to correctly match institutional jurisdiction to the scale of the specific resource unit or problem. Finally, regenerative design must explicitly address equity and inclusion, utilizing the IAD structure to guard against the structural inequities inherent in polycentric systems (Trap 1) and incorporating gender sensitivity into decision-making processes (DP 3) [33, 43].</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continuous, often incremental, revision of the IAD and SES frameworks—such as the gradual refinement of the design principles—underscores that the ultimate contribution of the Bloomington School is a robust </w:t>
      </w:r>
      <w:r w:rsidDel="00000000" w:rsidR="00000000" w:rsidRPr="00000000">
        <w:rPr>
          <w:rFonts w:ascii="Google Sans Text" w:cs="Google Sans Text" w:eastAsia="Google Sans Text" w:hAnsi="Google Sans Text"/>
          <w:i w:val="1"/>
          <w:color w:val="1b1c1d"/>
          <w:rtl w:val="0"/>
        </w:rPr>
        <w:t xml:space="preserve">methodology</w:t>
      </w:r>
      <w:r w:rsidDel="00000000" w:rsidR="00000000" w:rsidRPr="00000000">
        <w:rPr>
          <w:rFonts w:ascii="Google Sans Text" w:cs="Google Sans Text" w:eastAsia="Google Sans Text" w:hAnsi="Google Sans Text"/>
          <w:color w:val="1b1c1d"/>
          <w:rtl w:val="0"/>
        </w:rPr>
        <w:t xml:space="preserve"> for institutional inquiry. This inherent plasticity ensures that the framework itself is meta-adaptive, continuously absorbing empirical evidence and theoretical critiques to refine its diagnostic capacity, thereby guaranteeing its enduring role in understanding and designing resilient institutions for the future [38].</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